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4356" w14:textId="77777777" w:rsidR="00A530DF" w:rsidRDefault="00A530DF" w:rsidP="00A530DF">
      <w:pPr>
        <w:pStyle w:val="Title"/>
        <w:jc w:val="center"/>
        <w:rPr>
          <w:rFonts w:eastAsia="Times New Roman"/>
        </w:rPr>
      </w:pPr>
      <w:r w:rsidRPr="00A530DF">
        <w:rPr>
          <w:rFonts w:eastAsia="Times New Roman"/>
        </w:rPr>
        <w:t>ENDOWMENT CHALLENGE FUND</w:t>
      </w:r>
    </w:p>
    <w:p w14:paraId="30BEA9B7" w14:textId="77777777" w:rsidR="00A530DF" w:rsidRPr="00A530DF" w:rsidRDefault="00A530DF" w:rsidP="00A530DF"/>
    <w:p w14:paraId="18270FBD" w14:textId="1258AF85" w:rsidR="00A530DF" w:rsidRPr="00A530DF" w:rsidRDefault="00A530DF" w:rsidP="00A530DF">
      <w:pPr>
        <w:pStyle w:val="Heading1"/>
        <w:rPr>
          <w:rFonts w:eastAsia="Times New Roman"/>
        </w:rPr>
      </w:pPr>
      <w:r w:rsidRPr="00A530DF">
        <w:rPr>
          <w:rFonts w:eastAsia="Times New Roman"/>
        </w:rPr>
        <w:t xml:space="preserve">Management of Endowment Challenge Grants </w:t>
      </w:r>
    </w:p>
    <w:p w14:paraId="2D9377A4"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 xml:space="preserve">After an Endowment Challenge grant is awarded, the Community Foundation’s Development staff will contact the recipient organization to set up the organization’s Endowment Challenge Fund, which must be held at the Greater Cedar Rapids Community Foundation. </w:t>
      </w:r>
    </w:p>
    <w:p w14:paraId="0D6187FA" w14:textId="77777777" w:rsidR="00A530DF" w:rsidRPr="00A530DF" w:rsidRDefault="00A530DF" w:rsidP="00A530DF">
      <w:pPr>
        <w:spacing w:after="0" w:line="240" w:lineRule="auto"/>
        <w:rPr>
          <w:rFonts w:eastAsia="Times New Roman" w:cs="Calibri Light"/>
          <w14:ligatures w14:val="none"/>
        </w:rPr>
      </w:pPr>
    </w:p>
    <w:p w14:paraId="71AA3A8A"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The Community Foundation will match gifts deposited into the organization’s Endowment Challenge Fund quarterly until the match is completed or at the end of five years from the time of award. Once the challenge is complete, donor contributions and the Community Foundation match remain in the Endowment Challenge Fund, which is an Agency Friends Fund.</w:t>
      </w:r>
    </w:p>
    <w:p w14:paraId="2A94AD3B" w14:textId="77777777" w:rsidR="00A530DF" w:rsidRPr="00A530DF" w:rsidRDefault="00A530DF" w:rsidP="00A530DF">
      <w:pPr>
        <w:spacing w:after="0" w:line="240" w:lineRule="auto"/>
        <w:rPr>
          <w:rFonts w:eastAsia="Times New Roman" w:cs="Calibri Light"/>
          <w14:ligatures w14:val="none"/>
        </w:rPr>
      </w:pPr>
    </w:p>
    <w:p w14:paraId="24C675E5"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 xml:space="preserve">The Community Foundation will work with the organization to leverage additional </w:t>
      </w:r>
      <w:proofErr w:type="gramStart"/>
      <w:r w:rsidRPr="00A530DF">
        <w:rPr>
          <w:rFonts w:eastAsia="Times New Roman" w:cs="Calibri Light"/>
          <w14:ligatures w14:val="none"/>
        </w:rPr>
        <w:t>benefit</w:t>
      </w:r>
      <w:proofErr w:type="gramEnd"/>
      <w:r w:rsidRPr="00A530DF">
        <w:rPr>
          <w:rFonts w:eastAsia="Times New Roman" w:cs="Calibri Light"/>
          <w14:ligatures w14:val="none"/>
        </w:rPr>
        <w:t xml:space="preserve"> from the Endow Iowa Tax Credit Program.</w:t>
      </w:r>
    </w:p>
    <w:p w14:paraId="6CA59447" w14:textId="77777777" w:rsidR="00A530DF" w:rsidRPr="00A530DF" w:rsidRDefault="00A530DF" w:rsidP="00A530DF">
      <w:pPr>
        <w:spacing w:after="0" w:line="240" w:lineRule="auto"/>
        <w:rPr>
          <w:rFonts w:eastAsia="Times New Roman" w:cs="Calibri Light"/>
          <w14:ligatures w14:val="none"/>
        </w:rPr>
      </w:pPr>
    </w:p>
    <w:p w14:paraId="27364994"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In the Endowment Challenge match, the Community Foundation will contribute $1 for every $3 raised by the grantee up to a Community Foundation maximum of $25,000. (See “Organization Size and Match Limits” below.)</w:t>
      </w:r>
    </w:p>
    <w:p w14:paraId="68B167E3" w14:textId="77777777" w:rsidR="00A530DF" w:rsidRPr="00A530DF" w:rsidRDefault="00A530DF" w:rsidP="00A530DF">
      <w:pPr>
        <w:numPr>
          <w:ilvl w:val="1"/>
          <w:numId w:val="4"/>
        </w:numPr>
        <w:spacing w:after="0" w:line="240" w:lineRule="auto"/>
        <w:ind w:left="720" w:right="324"/>
        <w:rPr>
          <w:rFonts w:eastAsia="Times New Roman" w:cs="Calibri Light"/>
          <w14:ligatures w14:val="none"/>
        </w:rPr>
      </w:pPr>
      <w:r w:rsidRPr="00A530DF">
        <w:rPr>
          <w:rFonts w:eastAsia="Times New Roman" w:cs="Calibri Light"/>
          <w14:ligatures w14:val="none"/>
        </w:rPr>
        <w:t>Only new donor gifts received after the award date will be eligible for this match.</w:t>
      </w:r>
    </w:p>
    <w:p w14:paraId="78EB6759" w14:textId="77777777" w:rsidR="00A530DF" w:rsidRPr="00A530DF" w:rsidRDefault="00A530DF" w:rsidP="00A530DF">
      <w:pPr>
        <w:numPr>
          <w:ilvl w:val="1"/>
          <w:numId w:val="4"/>
        </w:numPr>
        <w:spacing w:after="0" w:line="240" w:lineRule="auto"/>
        <w:ind w:left="720" w:right="324"/>
        <w:rPr>
          <w:rFonts w:eastAsia="Times New Roman" w:cs="Calibri Light"/>
          <w14:ligatures w14:val="none"/>
        </w:rPr>
      </w:pPr>
      <w:r w:rsidRPr="00A530DF">
        <w:rPr>
          <w:rFonts w:eastAsia="Times New Roman" w:cs="Calibri Light"/>
          <w14:ligatures w14:val="none"/>
        </w:rPr>
        <w:t xml:space="preserve">For this match, a “donor” is a household and includes related corporate matching gifts.  </w:t>
      </w:r>
    </w:p>
    <w:p w14:paraId="79E8B325" w14:textId="77777777" w:rsidR="00A530DF" w:rsidRPr="00A530DF" w:rsidRDefault="00A530DF" w:rsidP="00A530DF">
      <w:pPr>
        <w:numPr>
          <w:ilvl w:val="1"/>
          <w:numId w:val="4"/>
        </w:numPr>
        <w:spacing w:after="0" w:line="240" w:lineRule="auto"/>
        <w:ind w:left="720" w:right="324"/>
        <w:rPr>
          <w:rFonts w:eastAsia="Times New Roman" w:cs="Calibri Light"/>
          <w14:ligatures w14:val="none"/>
        </w:rPr>
      </w:pPr>
      <w:r w:rsidRPr="00A530DF">
        <w:rPr>
          <w:rFonts w:eastAsia="Times New Roman" w:cs="Calibri Light"/>
          <w14:ligatures w14:val="none"/>
        </w:rPr>
        <w:t>The maximum match per donor can be met over time in more than one gift.</w:t>
      </w:r>
    </w:p>
    <w:p w14:paraId="6F2D8F58" w14:textId="77777777" w:rsidR="00A530DF" w:rsidRPr="00A530DF" w:rsidRDefault="00A530DF" w:rsidP="00A530DF">
      <w:pPr>
        <w:numPr>
          <w:ilvl w:val="2"/>
          <w:numId w:val="1"/>
        </w:numPr>
        <w:spacing w:after="0" w:line="240" w:lineRule="auto"/>
        <w:ind w:left="1080" w:right="324"/>
        <w:rPr>
          <w:rFonts w:eastAsia="Times New Roman" w:cs="Calibri Light"/>
          <w14:ligatures w14:val="none"/>
        </w:rPr>
      </w:pPr>
      <w:r w:rsidRPr="00A530DF">
        <w:rPr>
          <w:rFonts w:eastAsia="Times New Roman" w:cs="Calibri Light"/>
          <w14:ligatures w14:val="none"/>
        </w:rPr>
        <w:t xml:space="preserve">Example: a donor gives $1,500 one year and $1,500 the next year— each gift would be matched with $500 for a total match of $1,000 to $3,000.  </w:t>
      </w:r>
    </w:p>
    <w:p w14:paraId="41E11B61" w14:textId="77777777" w:rsidR="00A530DF" w:rsidRPr="00A530DF" w:rsidRDefault="00A530DF" w:rsidP="00A530DF">
      <w:pPr>
        <w:spacing w:after="0" w:line="240" w:lineRule="auto"/>
        <w:ind w:left="720" w:right="324"/>
        <w:rPr>
          <w:rFonts w:eastAsia="Times New Roman" w:cs="Calibri Light"/>
          <w14:ligatures w14:val="none"/>
        </w:rPr>
      </w:pPr>
    </w:p>
    <w:p w14:paraId="73E42E2E" w14:textId="77777777" w:rsidR="00A530DF" w:rsidRPr="00A530DF" w:rsidRDefault="00A530DF" w:rsidP="00A530DF">
      <w:pPr>
        <w:pStyle w:val="Subtitle"/>
        <w:spacing w:after="0"/>
        <w:rPr>
          <w:rFonts w:eastAsia="Times New Roman"/>
        </w:rPr>
      </w:pPr>
      <w:r w:rsidRPr="00A530DF">
        <w:rPr>
          <w:rFonts w:eastAsia="Times New Roman"/>
        </w:rPr>
        <w:t>Organizational Size and Match Limits:</w:t>
      </w:r>
    </w:p>
    <w:p w14:paraId="13CC81AA"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 xml:space="preserve">The Community Foundation assumes that large organizations will have more </w:t>
      </w:r>
      <w:proofErr w:type="gramStart"/>
      <w:r w:rsidRPr="00A530DF">
        <w:rPr>
          <w:rFonts w:eastAsia="Times New Roman" w:cs="Calibri Light"/>
          <w14:ligatures w14:val="none"/>
        </w:rPr>
        <w:t>donors, and</w:t>
      </w:r>
      <w:proofErr w:type="gramEnd"/>
      <w:r w:rsidRPr="00A530DF">
        <w:rPr>
          <w:rFonts w:eastAsia="Times New Roman" w:cs="Calibri Light"/>
          <w14:ligatures w14:val="none"/>
        </w:rPr>
        <w:t xml:space="preserve"> has therefore placed a cap on the Community Foundation match per donor based on size of organization. There is no minimum </w:t>
      </w:r>
      <w:proofErr w:type="gramStart"/>
      <w:r w:rsidRPr="00A530DF">
        <w:rPr>
          <w:rFonts w:eastAsia="Times New Roman" w:cs="Calibri Light"/>
          <w14:ligatures w14:val="none"/>
        </w:rPr>
        <w:t>size of</w:t>
      </w:r>
      <w:proofErr w:type="gramEnd"/>
      <w:r w:rsidRPr="00A530DF">
        <w:rPr>
          <w:rFonts w:eastAsia="Times New Roman" w:cs="Calibri Light"/>
          <w14:ligatures w14:val="none"/>
        </w:rPr>
        <w:t xml:space="preserve"> contribution; every gift will be fully matched by the Community Foundation up to the maximum amount per donor. </w:t>
      </w:r>
    </w:p>
    <w:p w14:paraId="2797206A" w14:textId="77777777" w:rsidR="00A530DF" w:rsidRPr="00A530DF" w:rsidRDefault="00A530DF" w:rsidP="00A530DF">
      <w:pPr>
        <w:spacing w:after="0" w:line="240" w:lineRule="auto"/>
        <w:rPr>
          <w:rFonts w:eastAsia="Times New Roman" w:cs="Calibri Light"/>
          <w14:ligatures w14:val="none"/>
        </w:rPr>
      </w:pPr>
    </w:p>
    <w:tbl>
      <w:tblPr>
        <w:tblStyle w:val="TableGrid1"/>
        <w:tblW w:w="0" w:type="auto"/>
        <w:tblInd w:w="2268" w:type="dxa"/>
        <w:tblLook w:val="04A0" w:firstRow="1" w:lastRow="0" w:firstColumn="1" w:lastColumn="0" w:noHBand="0" w:noVBand="1"/>
      </w:tblPr>
      <w:tblGrid>
        <w:gridCol w:w="2340"/>
        <w:gridCol w:w="3487"/>
      </w:tblGrid>
      <w:tr w:rsidR="00A530DF" w:rsidRPr="00A530DF" w14:paraId="2BD00ADE" w14:textId="77777777" w:rsidTr="00A530DF">
        <w:tc>
          <w:tcPr>
            <w:tcW w:w="2340" w:type="dxa"/>
            <w:tcBorders>
              <w:top w:val="single" w:sz="4" w:space="0" w:color="006E9F"/>
              <w:left w:val="single" w:sz="4" w:space="0" w:color="006E9F"/>
              <w:bottom w:val="single" w:sz="4" w:space="0" w:color="006E9F"/>
              <w:right w:val="single" w:sz="4" w:space="0" w:color="FFFFFF"/>
            </w:tcBorders>
            <w:shd w:val="clear" w:color="auto" w:fill="006E9F"/>
            <w:hideMark/>
          </w:tcPr>
          <w:p w14:paraId="6BC34B30" w14:textId="77777777" w:rsidR="00A530DF" w:rsidRPr="00A530DF" w:rsidRDefault="00A530DF" w:rsidP="00A530DF">
            <w:pPr>
              <w:rPr>
                <w:rFonts w:cs="Calibri Light"/>
                <w:color w:val="FFFFFF" w:themeColor="background1"/>
                <w14:ligatures w14:val="none"/>
              </w:rPr>
            </w:pPr>
            <w:r w:rsidRPr="00A530DF">
              <w:rPr>
                <w:rFonts w:cs="Calibri Light"/>
                <w:color w:val="FFFFFF" w:themeColor="background1"/>
                <w14:ligatures w14:val="none"/>
              </w:rPr>
              <w:t>OPERATING BUDGET</w:t>
            </w:r>
          </w:p>
        </w:tc>
        <w:tc>
          <w:tcPr>
            <w:tcW w:w="3487" w:type="dxa"/>
            <w:tcBorders>
              <w:top w:val="single" w:sz="4" w:space="0" w:color="006E9F"/>
              <w:left w:val="single" w:sz="4" w:space="0" w:color="FFFFFF"/>
              <w:bottom w:val="single" w:sz="4" w:space="0" w:color="006E9F"/>
              <w:right w:val="single" w:sz="4" w:space="0" w:color="006E9F"/>
            </w:tcBorders>
            <w:shd w:val="clear" w:color="auto" w:fill="006E9F"/>
            <w:hideMark/>
          </w:tcPr>
          <w:p w14:paraId="3E28519F" w14:textId="77777777" w:rsidR="00A530DF" w:rsidRPr="00A530DF" w:rsidRDefault="00A530DF" w:rsidP="00A530DF">
            <w:pPr>
              <w:rPr>
                <w:rFonts w:cs="Calibri Light"/>
                <w:color w:val="FFFFFF" w:themeColor="background1"/>
                <w14:ligatures w14:val="none"/>
              </w:rPr>
            </w:pPr>
            <w:r w:rsidRPr="00A530DF">
              <w:rPr>
                <w:rFonts w:cs="Calibri Light"/>
                <w:color w:val="FFFFFF" w:themeColor="background1"/>
                <w14:ligatures w14:val="none"/>
              </w:rPr>
              <w:t>MAXIMUM MATCH PER DONOR</w:t>
            </w:r>
          </w:p>
        </w:tc>
      </w:tr>
      <w:tr w:rsidR="00A530DF" w:rsidRPr="00A530DF" w14:paraId="365A4607" w14:textId="77777777" w:rsidTr="006678E6">
        <w:tc>
          <w:tcPr>
            <w:tcW w:w="2340" w:type="dxa"/>
            <w:tcBorders>
              <w:top w:val="single" w:sz="4" w:space="0" w:color="006E9F"/>
              <w:left w:val="single" w:sz="4" w:space="0" w:color="86786F"/>
              <w:bottom w:val="single" w:sz="4" w:space="0" w:color="86786F"/>
              <w:right w:val="single" w:sz="4" w:space="0" w:color="86786F"/>
            </w:tcBorders>
            <w:hideMark/>
          </w:tcPr>
          <w:p w14:paraId="673DB2C6" w14:textId="77777777" w:rsidR="00A530DF" w:rsidRPr="00A530DF" w:rsidRDefault="00A530DF" w:rsidP="00A530DF">
            <w:pPr>
              <w:rPr>
                <w:rFonts w:cs="Calibri Light"/>
                <w14:ligatures w14:val="none"/>
              </w:rPr>
            </w:pPr>
            <w:r w:rsidRPr="00A530DF">
              <w:rPr>
                <w:rFonts w:cs="Calibri Light"/>
                <w14:ligatures w14:val="none"/>
              </w:rPr>
              <w:t>$0-$1M</w:t>
            </w:r>
          </w:p>
        </w:tc>
        <w:tc>
          <w:tcPr>
            <w:tcW w:w="3487" w:type="dxa"/>
            <w:tcBorders>
              <w:top w:val="single" w:sz="4" w:space="0" w:color="006E9F"/>
              <w:left w:val="single" w:sz="4" w:space="0" w:color="86786F"/>
              <w:bottom w:val="single" w:sz="4" w:space="0" w:color="86786F"/>
              <w:right w:val="single" w:sz="4" w:space="0" w:color="86786F"/>
            </w:tcBorders>
            <w:hideMark/>
          </w:tcPr>
          <w:p w14:paraId="450044C0" w14:textId="77777777" w:rsidR="00A530DF" w:rsidRPr="00A530DF" w:rsidRDefault="00A530DF" w:rsidP="00A530DF">
            <w:pPr>
              <w:rPr>
                <w:rFonts w:cs="Calibri Light"/>
                <w14:ligatures w14:val="none"/>
              </w:rPr>
            </w:pPr>
            <w:r w:rsidRPr="00A530DF">
              <w:rPr>
                <w:rFonts w:cs="Calibri Light"/>
                <w14:ligatures w14:val="none"/>
              </w:rPr>
              <w:t>$5,000 (donor gift $15,000)</w:t>
            </w:r>
          </w:p>
        </w:tc>
      </w:tr>
      <w:tr w:rsidR="00A530DF" w:rsidRPr="00A530DF" w14:paraId="1BBF20DA" w14:textId="77777777" w:rsidTr="006678E6">
        <w:tc>
          <w:tcPr>
            <w:tcW w:w="2340" w:type="dxa"/>
            <w:tcBorders>
              <w:top w:val="single" w:sz="4" w:space="0" w:color="86786F"/>
              <w:left w:val="single" w:sz="4" w:space="0" w:color="86786F"/>
              <w:bottom w:val="single" w:sz="4" w:space="0" w:color="86786F"/>
              <w:right w:val="single" w:sz="4" w:space="0" w:color="86786F"/>
            </w:tcBorders>
            <w:hideMark/>
          </w:tcPr>
          <w:p w14:paraId="403D50F0" w14:textId="77777777" w:rsidR="00A530DF" w:rsidRPr="00A530DF" w:rsidRDefault="00A530DF" w:rsidP="00A530DF">
            <w:pPr>
              <w:rPr>
                <w:rFonts w:cs="Calibri Light"/>
                <w14:ligatures w14:val="none"/>
              </w:rPr>
            </w:pPr>
            <w:r w:rsidRPr="00A530DF">
              <w:rPr>
                <w:rFonts w:cs="Calibri Light"/>
                <w14:ligatures w14:val="none"/>
              </w:rPr>
              <w:t>$1M-$2M</w:t>
            </w:r>
          </w:p>
        </w:tc>
        <w:tc>
          <w:tcPr>
            <w:tcW w:w="3487" w:type="dxa"/>
            <w:tcBorders>
              <w:top w:val="single" w:sz="4" w:space="0" w:color="86786F"/>
              <w:left w:val="single" w:sz="4" w:space="0" w:color="86786F"/>
              <w:bottom w:val="single" w:sz="4" w:space="0" w:color="86786F"/>
              <w:right w:val="single" w:sz="4" w:space="0" w:color="86786F"/>
            </w:tcBorders>
            <w:hideMark/>
          </w:tcPr>
          <w:p w14:paraId="0B56CB3A" w14:textId="77777777" w:rsidR="00A530DF" w:rsidRPr="00A530DF" w:rsidRDefault="00A530DF" w:rsidP="00A530DF">
            <w:pPr>
              <w:rPr>
                <w:rFonts w:cs="Calibri Light"/>
                <w14:ligatures w14:val="none"/>
              </w:rPr>
            </w:pPr>
            <w:r w:rsidRPr="00A530DF">
              <w:rPr>
                <w:rFonts w:cs="Calibri Light"/>
                <w14:ligatures w14:val="none"/>
              </w:rPr>
              <w:t>$2,500 (donor gift $7,500)</w:t>
            </w:r>
          </w:p>
        </w:tc>
      </w:tr>
      <w:tr w:rsidR="00A530DF" w:rsidRPr="00A530DF" w14:paraId="1A57060A" w14:textId="77777777" w:rsidTr="006678E6">
        <w:tc>
          <w:tcPr>
            <w:tcW w:w="2340" w:type="dxa"/>
            <w:tcBorders>
              <w:top w:val="single" w:sz="4" w:space="0" w:color="86786F"/>
              <w:left w:val="single" w:sz="4" w:space="0" w:color="86786F"/>
              <w:bottom w:val="single" w:sz="4" w:space="0" w:color="86786F"/>
              <w:right w:val="single" w:sz="4" w:space="0" w:color="86786F"/>
            </w:tcBorders>
            <w:hideMark/>
          </w:tcPr>
          <w:p w14:paraId="0E5C0831" w14:textId="77777777" w:rsidR="00A530DF" w:rsidRPr="00A530DF" w:rsidRDefault="00A530DF" w:rsidP="00A530DF">
            <w:pPr>
              <w:rPr>
                <w:rFonts w:cs="Calibri Light"/>
                <w14:ligatures w14:val="none"/>
              </w:rPr>
            </w:pPr>
            <w:r w:rsidRPr="00A530DF">
              <w:rPr>
                <w:rFonts w:cs="Calibri Light"/>
                <w14:ligatures w14:val="none"/>
              </w:rPr>
              <w:t>$2M+</w:t>
            </w:r>
          </w:p>
        </w:tc>
        <w:tc>
          <w:tcPr>
            <w:tcW w:w="3487" w:type="dxa"/>
            <w:tcBorders>
              <w:top w:val="single" w:sz="4" w:space="0" w:color="86786F"/>
              <w:left w:val="single" w:sz="4" w:space="0" w:color="86786F"/>
              <w:bottom w:val="single" w:sz="4" w:space="0" w:color="86786F"/>
              <w:right w:val="single" w:sz="4" w:space="0" w:color="86786F"/>
            </w:tcBorders>
            <w:hideMark/>
          </w:tcPr>
          <w:p w14:paraId="7BB2EDBA" w14:textId="77777777" w:rsidR="00A530DF" w:rsidRPr="00A530DF" w:rsidRDefault="00A530DF" w:rsidP="00A530DF">
            <w:pPr>
              <w:rPr>
                <w:rFonts w:cs="Calibri Light"/>
                <w14:ligatures w14:val="none"/>
              </w:rPr>
            </w:pPr>
            <w:r w:rsidRPr="00A530DF">
              <w:rPr>
                <w:rFonts w:cs="Calibri Light"/>
                <w14:ligatures w14:val="none"/>
              </w:rPr>
              <w:t>$1,000 (donor gift $3,000)</w:t>
            </w:r>
          </w:p>
        </w:tc>
      </w:tr>
    </w:tbl>
    <w:p w14:paraId="178F5EB7" w14:textId="77777777" w:rsidR="00A530DF" w:rsidRPr="00A530DF" w:rsidRDefault="00A530DF" w:rsidP="00A530DF">
      <w:pPr>
        <w:spacing w:after="0" w:line="240" w:lineRule="auto"/>
        <w:rPr>
          <w:rFonts w:eastAsia="Times New Roman" w:cs="Calibri Light"/>
          <w14:ligatures w14:val="none"/>
        </w:rPr>
      </w:pPr>
    </w:p>
    <w:p w14:paraId="723144FB" w14:textId="77777777" w:rsidR="00A530DF" w:rsidRPr="00A530DF" w:rsidRDefault="00A530DF" w:rsidP="00A530DF">
      <w:pPr>
        <w:pStyle w:val="Subtitle"/>
        <w:spacing w:after="0"/>
        <w:rPr>
          <w:rFonts w:eastAsia="Times New Roman"/>
        </w:rPr>
      </w:pPr>
      <w:r w:rsidRPr="00A530DF">
        <w:rPr>
          <w:rFonts w:eastAsia="Times New Roman"/>
        </w:rPr>
        <w:t>About the Endow Iowa Tax Credit Program:</w:t>
      </w:r>
    </w:p>
    <w:p w14:paraId="67303B5B" w14:textId="041B5C9A" w:rsidR="00A530DF" w:rsidRPr="00A530DF" w:rsidRDefault="00A530DF" w:rsidP="00A530DF">
      <w:pPr>
        <w:tabs>
          <w:tab w:val="num" w:pos="0"/>
        </w:tabs>
        <w:spacing w:after="0" w:line="240" w:lineRule="auto"/>
        <w:rPr>
          <w:rFonts w:eastAsia="Times New Roman" w:cs="Calibri Light"/>
          <w14:ligatures w14:val="none"/>
        </w:rPr>
      </w:pPr>
      <w:r w:rsidRPr="00A530DF">
        <w:rPr>
          <w:rFonts w:eastAsia="Times New Roman" w:cs="Calibri Light"/>
          <w14:ligatures w14:val="none"/>
        </w:rPr>
        <w:t xml:space="preserve">Donors who give to a permanently endowed fund at the Greater Cedar Rapids Community Foundation are eligible to receive a 25% state tax credit, in addition to any federal tax benefits they may qualify for. Eligible gifts qualify for credits on a first-come/first-served basis until the yearly appropriated limit is reached. Qualified donors can carry forward tax credits for up to five years after the credits are awarded. For more information, visit </w:t>
      </w:r>
      <w:hyperlink r:id="rId5" w:history="1">
        <w:r w:rsidRPr="00A530DF">
          <w:rPr>
            <w:rFonts w:eastAsia="Times New Roman" w:cs="Calibri Light"/>
            <w:u w:val="single"/>
            <w14:ligatures w14:val="none"/>
          </w:rPr>
          <w:t>https://www.gcrcf.org/donors/tax-benefits/</w:t>
        </w:r>
      </w:hyperlink>
      <w:r w:rsidRPr="00A530DF">
        <w:rPr>
          <w:rFonts w:eastAsia="Times New Roman" w:cs="Calibri Light"/>
          <w14:ligatures w14:val="none"/>
        </w:rPr>
        <w:t>.</w:t>
      </w:r>
    </w:p>
    <w:p w14:paraId="4061FABC" w14:textId="77777777" w:rsidR="00A530DF" w:rsidRPr="00A530DF" w:rsidRDefault="00A530DF" w:rsidP="00A530DF">
      <w:pPr>
        <w:spacing w:after="0" w:line="240" w:lineRule="auto"/>
        <w:rPr>
          <w:rFonts w:eastAsia="Times New Roman" w:cs="Calibri Light"/>
          <w:b/>
          <w:i/>
          <w14:ligatures w14:val="none"/>
        </w:rPr>
      </w:pPr>
    </w:p>
    <w:p w14:paraId="09DCCEA0" w14:textId="77777777" w:rsidR="00A530DF" w:rsidRPr="00A530DF" w:rsidRDefault="00A530DF" w:rsidP="00A530DF">
      <w:pPr>
        <w:pStyle w:val="Subtitle"/>
        <w:spacing w:after="0"/>
        <w:rPr>
          <w:rFonts w:eastAsia="Times New Roman"/>
        </w:rPr>
      </w:pPr>
      <w:r w:rsidRPr="00A530DF">
        <w:rPr>
          <w:rFonts w:eastAsia="Times New Roman"/>
        </w:rPr>
        <w:t>Endowment-Building Options:</w:t>
      </w:r>
    </w:p>
    <w:p w14:paraId="76EF78CF" w14:textId="77777777" w:rsidR="00A530DF" w:rsidRPr="00A530DF" w:rsidRDefault="00A530DF" w:rsidP="00A530DF">
      <w:pPr>
        <w:spacing w:after="0" w:line="240" w:lineRule="auto"/>
        <w:rPr>
          <w:rFonts w:eastAsia="Times New Roman" w:cs="Calibri Light"/>
          <w14:ligatures w14:val="none"/>
        </w:rPr>
      </w:pPr>
      <w:r w:rsidRPr="00A530DF">
        <w:rPr>
          <w:rFonts w:eastAsia="Times New Roman" w:cs="Calibri Light"/>
          <w14:ligatures w14:val="none"/>
        </w:rPr>
        <w:t>The following endowment options are available to a nonprofit organization through the Community Foundation:</w:t>
      </w:r>
    </w:p>
    <w:p w14:paraId="5BFA8F3D" w14:textId="77777777" w:rsidR="00A530DF" w:rsidRPr="00A530DF" w:rsidRDefault="00A530DF" w:rsidP="00A530DF">
      <w:pPr>
        <w:numPr>
          <w:ilvl w:val="0"/>
          <w:numId w:val="3"/>
        </w:numPr>
        <w:spacing w:after="0" w:line="240" w:lineRule="auto"/>
        <w:rPr>
          <w:rFonts w:eastAsia="Times New Roman" w:cs="Calibri Light"/>
          <w14:ligatures w14:val="none"/>
        </w:rPr>
      </w:pPr>
      <w:r w:rsidRPr="00A530DF">
        <w:rPr>
          <w:rFonts w:eastAsia="Times New Roman" w:cs="Calibri Light"/>
          <w14:ligatures w14:val="none"/>
        </w:rPr>
        <w:t>Agency Fund – Endowment established and funded by the nonprofit organization, who retains ownership.</w:t>
      </w:r>
    </w:p>
    <w:p w14:paraId="365602AF" w14:textId="77777777" w:rsidR="00A530DF" w:rsidRPr="00A530DF" w:rsidRDefault="00A530DF" w:rsidP="00A530DF">
      <w:pPr>
        <w:numPr>
          <w:ilvl w:val="0"/>
          <w:numId w:val="3"/>
        </w:numPr>
        <w:spacing w:after="0" w:line="240" w:lineRule="auto"/>
        <w:rPr>
          <w:rFonts w:eastAsia="Times New Roman" w:cs="Calibri Light"/>
          <w14:ligatures w14:val="none"/>
        </w:rPr>
      </w:pPr>
      <w:r w:rsidRPr="00A530DF">
        <w:rPr>
          <w:rFonts w:eastAsia="Times New Roman" w:cs="Calibri Light"/>
          <w14:ligatures w14:val="none"/>
        </w:rPr>
        <w:t>Agency Friends Fund – Endowment funded by donors eligible for Endow Iowa tax credit. Due to Endow Iowa regulations the fund is permanent and owned by the Community Foundation. The Endowment Challenge Grant Fund is an Agency Friends Fund.</w:t>
      </w:r>
    </w:p>
    <w:p w14:paraId="1CB1C027" w14:textId="77777777" w:rsidR="00A530DF" w:rsidRPr="00A530DF" w:rsidRDefault="00A530DF" w:rsidP="00A530DF">
      <w:pPr>
        <w:numPr>
          <w:ilvl w:val="0"/>
          <w:numId w:val="3"/>
        </w:numPr>
        <w:spacing w:after="0" w:line="240" w:lineRule="auto"/>
        <w:rPr>
          <w:rFonts w:eastAsia="Times New Roman" w:cs="Calibri Light"/>
          <w14:ligatures w14:val="none"/>
        </w:rPr>
      </w:pPr>
      <w:r w:rsidRPr="00A530DF">
        <w:rPr>
          <w:rFonts w:eastAsia="Times New Roman" w:cs="Calibri Light"/>
          <w14:ligatures w14:val="none"/>
        </w:rPr>
        <w:t>Named Endowed Designated Fund – Designated Endowment established by high-level Endowment Challenge donors.</w:t>
      </w:r>
    </w:p>
    <w:p w14:paraId="26119F27" w14:textId="77777777" w:rsidR="00882F1E" w:rsidRDefault="00882F1E"/>
    <w:sectPr w:rsidR="00882F1E" w:rsidSect="00A530DF">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Gill Sans">
    <w:panose1 w:val="020B0702020104020203"/>
    <w:charset w:val="00"/>
    <w:family w:val="swiss"/>
    <w:pitch w:val="variable"/>
    <w:sig w:usb0="8000026F" w:usb1="5000004A" w:usb2="00000000" w:usb3="00000000" w:csb0="00000005"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6411" w14:textId="77777777" w:rsidR="00A530DF" w:rsidRDefault="00A530DF">
    <w:pPr>
      <w:pStyle w:val="Footer"/>
    </w:pPr>
    <w:r w:rsidRPr="00C02505">
      <w:rPr>
        <w:b/>
        <w:noProof/>
        <w:color w:val="86786F"/>
      </w:rPr>
      <w:drawing>
        <wp:anchor distT="0" distB="0" distL="114300" distR="114300" simplePos="0" relativeHeight="251659264" behindDoc="0" locked="0" layoutInCell="1" allowOverlap="1" wp14:anchorId="4CBB9AC8" wp14:editId="542DBFEC">
          <wp:simplePos x="0" y="0"/>
          <wp:positionH relativeFrom="column">
            <wp:posOffset>5506720</wp:posOffset>
          </wp:positionH>
          <wp:positionV relativeFrom="paragraph">
            <wp:posOffset>31115</wp:posOffset>
          </wp:positionV>
          <wp:extent cx="1540510" cy="3257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CF color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510" cy="325755"/>
                  </a:xfrm>
                  <a:prstGeom prst="rect">
                    <a:avLst/>
                  </a:prstGeom>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1F8C"/>
    <w:multiLevelType w:val="hybridMultilevel"/>
    <w:tmpl w:val="3C3C14A4"/>
    <w:lvl w:ilvl="0" w:tplc="FFFFFFFF">
      <w:start w:val="1"/>
      <w:numFmt w:val="bullet"/>
      <w:lvlText w:val=""/>
      <w:lvlJc w:val="left"/>
      <w:pPr>
        <w:tabs>
          <w:tab w:val="num" w:pos="720"/>
        </w:tabs>
        <w:ind w:left="720" w:hanging="360"/>
      </w:pPr>
      <w:rPr>
        <w:rFonts w:ascii="Symbol" w:hAnsi="Symbol" w:hint="default"/>
      </w:rPr>
    </w:lvl>
    <w:lvl w:ilvl="1" w:tplc="9022D518">
      <w:start w:val="1"/>
      <w:numFmt w:val="bullet"/>
      <w:lvlText w:val=""/>
      <w:lvlJc w:val="left"/>
      <w:pPr>
        <w:ind w:left="1440" w:hanging="360"/>
      </w:pPr>
      <w:rPr>
        <w:rFonts w:ascii="Wingdings" w:hAnsi="Wingdings" w:hint="default"/>
        <w:color w:val="9BB17A"/>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7294F"/>
    <w:multiLevelType w:val="hybridMultilevel"/>
    <w:tmpl w:val="811A21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3">
      <w:start w:val="1"/>
      <w:numFmt w:val="bullet"/>
      <w:lvlText w:val="o"/>
      <w:lvlJc w:val="left"/>
      <w:pPr>
        <w:ind w:left="2160" w:hanging="360"/>
      </w:pPr>
      <w:rPr>
        <w:rFonts w:ascii="Courier New" w:hAnsi="Courier New" w:cs="Courier New" w:hint="default"/>
        <w:color w:val="9BB17A"/>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61D89"/>
    <w:multiLevelType w:val="hybridMultilevel"/>
    <w:tmpl w:val="B080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5B1470"/>
    <w:multiLevelType w:val="hybridMultilevel"/>
    <w:tmpl w:val="0764EA54"/>
    <w:lvl w:ilvl="0" w:tplc="9022D518">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07567610">
    <w:abstractNumId w:val="1"/>
  </w:num>
  <w:num w:numId="2" w16cid:durableId="1186484959">
    <w:abstractNumId w:val="2"/>
  </w:num>
  <w:num w:numId="3" w16cid:durableId="993601321">
    <w:abstractNumId w:val="3"/>
  </w:num>
  <w:num w:numId="4" w16cid:durableId="204375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DF"/>
    <w:rsid w:val="0053176C"/>
    <w:rsid w:val="00595D7E"/>
    <w:rsid w:val="00882F1E"/>
    <w:rsid w:val="00905E40"/>
    <w:rsid w:val="009C5DE1"/>
    <w:rsid w:val="00A530DF"/>
    <w:rsid w:val="00A6071A"/>
    <w:rsid w:val="00CD7E51"/>
    <w:rsid w:val="00D26DBE"/>
    <w:rsid w:val="00E72872"/>
    <w:rsid w:val="00E87033"/>
    <w:rsid w:val="00F10733"/>
    <w:rsid w:val="00FB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3B98"/>
  <w15:chartTrackingRefBased/>
  <w15:docId w15:val="{C2304445-3CB5-4E17-A3DD-1B4BF208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BE"/>
    <w:rPr>
      <w:rFonts w:ascii="Calibri Light" w:hAnsi="Calibri Light"/>
      <w:kern w:val="0"/>
    </w:rPr>
  </w:style>
  <w:style w:type="paragraph" w:styleId="Heading1">
    <w:name w:val="heading 1"/>
    <w:basedOn w:val="Normal"/>
    <w:next w:val="Normal"/>
    <w:link w:val="Heading1Char"/>
    <w:uiPriority w:val="9"/>
    <w:qFormat/>
    <w:rsid w:val="00595D7E"/>
    <w:pPr>
      <w:keepNext/>
      <w:keepLines/>
      <w:spacing w:before="240" w:after="0"/>
      <w:outlineLvl w:val="0"/>
    </w:pPr>
    <w:rPr>
      <w:rFonts w:ascii="Gill Sans MT" w:eastAsiaTheme="majorEastAsia" w:hAnsi="Gill Sans MT" w:cstheme="majorBidi"/>
      <w:caps/>
      <w:kern w:val="2"/>
      <w:sz w:val="28"/>
      <w:szCs w:val="32"/>
    </w:rPr>
  </w:style>
  <w:style w:type="paragraph" w:styleId="Heading2">
    <w:name w:val="heading 2"/>
    <w:basedOn w:val="Normal"/>
    <w:next w:val="Normal"/>
    <w:link w:val="Heading2Char"/>
    <w:uiPriority w:val="9"/>
    <w:semiHidden/>
    <w:unhideWhenUsed/>
    <w:rsid w:val="00A53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0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0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30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30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30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30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30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D7E"/>
    <w:pPr>
      <w:spacing w:after="0" w:line="240" w:lineRule="auto"/>
      <w:contextualSpacing/>
    </w:pPr>
    <w:rPr>
      <w:rFonts w:ascii="Gill Sans" w:eastAsiaTheme="majorEastAsia" w:hAnsi="Gill Sans" w:cstheme="majorBidi"/>
      <w:caps/>
      <w:color w:val="276AA0"/>
      <w:spacing w:val="-10"/>
      <w:kern w:val="28"/>
      <w:sz w:val="44"/>
      <w:szCs w:val="56"/>
    </w:rPr>
  </w:style>
  <w:style w:type="character" w:customStyle="1" w:styleId="TitleChar">
    <w:name w:val="Title Char"/>
    <w:basedOn w:val="DefaultParagraphFont"/>
    <w:link w:val="Title"/>
    <w:uiPriority w:val="10"/>
    <w:rsid w:val="00595D7E"/>
    <w:rPr>
      <w:rFonts w:ascii="Gill Sans" w:eastAsiaTheme="majorEastAsia" w:hAnsi="Gill Sans" w:cstheme="majorBidi"/>
      <w:caps/>
      <w:color w:val="276AA0"/>
      <w:spacing w:val="-10"/>
      <w:kern w:val="28"/>
      <w:sz w:val="44"/>
      <w:szCs w:val="56"/>
    </w:rPr>
  </w:style>
  <w:style w:type="character" w:customStyle="1" w:styleId="Heading1Char">
    <w:name w:val="Heading 1 Char"/>
    <w:basedOn w:val="DefaultParagraphFont"/>
    <w:link w:val="Heading1"/>
    <w:uiPriority w:val="9"/>
    <w:rsid w:val="00595D7E"/>
    <w:rPr>
      <w:rFonts w:ascii="Gill Sans MT" w:eastAsiaTheme="majorEastAsia" w:hAnsi="Gill Sans MT" w:cstheme="majorBidi"/>
      <w:caps/>
      <w:sz w:val="28"/>
      <w:szCs w:val="32"/>
    </w:rPr>
  </w:style>
  <w:style w:type="paragraph" w:styleId="Subtitle">
    <w:name w:val="Subtitle"/>
    <w:basedOn w:val="Normal"/>
    <w:next w:val="Normal"/>
    <w:link w:val="SubtitleChar"/>
    <w:uiPriority w:val="11"/>
    <w:qFormat/>
    <w:rsid w:val="00CD7E51"/>
    <w:pPr>
      <w:numPr>
        <w:ilvl w:val="1"/>
      </w:numPr>
    </w:pPr>
    <w:rPr>
      <w:rFonts w:asciiTheme="minorHAnsi" w:eastAsiaTheme="minorEastAsia" w:hAnsiTheme="minorHAnsi"/>
      <w:b/>
      <w:color w:val="276AA0"/>
      <w:sz w:val="24"/>
    </w:rPr>
  </w:style>
  <w:style w:type="character" w:customStyle="1" w:styleId="SubtitleChar">
    <w:name w:val="Subtitle Char"/>
    <w:basedOn w:val="DefaultParagraphFont"/>
    <w:link w:val="Subtitle"/>
    <w:uiPriority w:val="11"/>
    <w:rsid w:val="00CD7E51"/>
    <w:rPr>
      <w:rFonts w:eastAsiaTheme="minorEastAsia"/>
      <w:b/>
      <w:color w:val="276AA0"/>
      <w:kern w:val="0"/>
      <w:sz w:val="24"/>
    </w:rPr>
  </w:style>
  <w:style w:type="character" w:styleId="SubtleEmphasis">
    <w:name w:val="Subtle Emphasis"/>
    <w:basedOn w:val="DefaultParagraphFont"/>
    <w:uiPriority w:val="19"/>
    <w:qFormat/>
    <w:rsid w:val="00595D7E"/>
    <w:rPr>
      <w:rFonts w:asciiTheme="majorHAnsi" w:hAnsiTheme="majorHAnsi"/>
      <w:i/>
      <w:iCs/>
      <w:color w:val="auto"/>
      <w:sz w:val="22"/>
    </w:rPr>
  </w:style>
  <w:style w:type="character" w:styleId="Hyperlink">
    <w:name w:val="Hyperlink"/>
    <w:basedOn w:val="DefaultParagraphFont"/>
    <w:uiPriority w:val="99"/>
    <w:unhideWhenUsed/>
    <w:rsid w:val="00595D7E"/>
    <w:rPr>
      <w:color w:val="467886" w:themeColor="hyperlink"/>
      <w:u w:val="single"/>
    </w:rPr>
  </w:style>
  <w:style w:type="character" w:customStyle="1" w:styleId="Heading2Char">
    <w:name w:val="Heading 2 Char"/>
    <w:basedOn w:val="DefaultParagraphFont"/>
    <w:link w:val="Heading2"/>
    <w:uiPriority w:val="9"/>
    <w:semiHidden/>
    <w:rsid w:val="00A530DF"/>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A530DF"/>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A530DF"/>
    <w:rPr>
      <w:rFonts w:eastAsiaTheme="majorEastAsia" w:cstheme="majorBidi"/>
      <w:i/>
      <w:iCs/>
      <w:color w:val="0F4761" w:themeColor="accent1" w:themeShade="BF"/>
      <w:kern w:val="0"/>
    </w:rPr>
  </w:style>
  <w:style w:type="character" w:customStyle="1" w:styleId="Heading5Char">
    <w:name w:val="Heading 5 Char"/>
    <w:basedOn w:val="DefaultParagraphFont"/>
    <w:link w:val="Heading5"/>
    <w:uiPriority w:val="9"/>
    <w:semiHidden/>
    <w:rsid w:val="00A530DF"/>
    <w:rPr>
      <w:rFonts w:eastAsiaTheme="majorEastAsia" w:cstheme="majorBidi"/>
      <w:color w:val="0F4761" w:themeColor="accent1" w:themeShade="BF"/>
      <w:kern w:val="0"/>
    </w:rPr>
  </w:style>
  <w:style w:type="character" w:customStyle="1" w:styleId="Heading6Char">
    <w:name w:val="Heading 6 Char"/>
    <w:basedOn w:val="DefaultParagraphFont"/>
    <w:link w:val="Heading6"/>
    <w:uiPriority w:val="9"/>
    <w:semiHidden/>
    <w:rsid w:val="00A530DF"/>
    <w:rPr>
      <w:rFonts w:eastAsiaTheme="majorEastAsia" w:cstheme="majorBidi"/>
      <w:i/>
      <w:iCs/>
      <w:color w:val="595959" w:themeColor="text1" w:themeTint="A6"/>
      <w:kern w:val="0"/>
    </w:rPr>
  </w:style>
  <w:style w:type="character" w:customStyle="1" w:styleId="Heading7Char">
    <w:name w:val="Heading 7 Char"/>
    <w:basedOn w:val="DefaultParagraphFont"/>
    <w:link w:val="Heading7"/>
    <w:uiPriority w:val="9"/>
    <w:semiHidden/>
    <w:rsid w:val="00A530DF"/>
    <w:rPr>
      <w:rFonts w:eastAsiaTheme="majorEastAsia" w:cstheme="majorBidi"/>
      <w:color w:val="595959" w:themeColor="text1" w:themeTint="A6"/>
      <w:kern w:val="0"/>
    </w:rPr>
  </w:style>
  <w:style w:type="character" w:customStyle="1" w:styleId="Heading8Char">
    <w:name w:val="Heading 8 Char"/>
    <w:basedOn w:val="DefaultParagraphFont"/>
    <w:link w:val="Heading8"/>
    <w:uiPriority w:val="9"/>
    <w:semiHidden/>
    <w:rsid w:val="00A530DF"/>
    <w:rPr>
      <w:rFonts w:eastAsiaTheme="majorEastAsia" w:cstheme="majorBidi"/>
      <w:i/>
      <w:iCs/>
      <w:color w:val="272727" w:themeColor="text1" w:themeTint="D8"/>
      <w:kern w:val="0"/>
    </w:rPr>
  </w:style>
  <w:style w:type="character" w:customStyle="1" w:styleId="Heading9Char">
    <w:name w:val="Heading 9 Char"/>
    <w:basedOn w:val="DefaultParagraphFont"/>
    <w:link w:val="Heading9"/>
    <w:uiPriority w:val="9"/>
    <w:semiHidden/>
    <w:rsid w:val="00A530DF"/>
    <w:rPr>
      <w:rFonts w:eastAsiaTheme="majorEastAsia" w:cstheme="majorBidi"/>
      <w:color w:val="272727" w:themeColor="text1" w:themeTint="D8"/>
      <w:kern w:val="0"/>
    </w:rPr>
  </w:style>
  <w:style w:type="paragraph" w:styleId="Quote">
    <w:name w:val="Quote"/>
    <w:basedOn w:val="Normal"/>
    <w:next w:val="Normal"/>
    <w:link w:val="QuoteChar"/>
    <w:uiPriority w:val="29"/>
    <w:rsid w:val="00A530DF"/>
    <w:pPr>
      <w:spacing w:before="160"/>
      <w:jc w:val="center"/>
    </w:pPr>
    <w:rPr>
      <w:i/>
      <w:iCs/>
      <w:color w:val="404040" w:themeColor="text1" w:themeTint="BF"/>
    </w:rPr>
  </w:style>
  <w:style w:type="character" w:customStyle="1" w:styleId="QuoteChar">
    <w:name w:val="Quote Char"/>
    <w:basedOn w:val="DefaultParagraphFont"/>
    <w:link w:val="Quote"/>
    <w:uiPriority w:val="29"/>
    <w:rsid w:val="00A530DF"/>
    <w:rPr>
      <w:rFonts w:ascii="Calibri Light" w:hAnsi="Calibri Light"/>
      <w:i/>
      <w:iCs/>
      <w:color w:val="404040" w:themeColor="text1" w:themeTint="BF"/>
      <w:kern w:val="0"/>
    </w:rPr>
  </w:style>
  <w:style w:type="paragraph" w:styleId="ListParagraph">
    <w:name w:val="List Paragraph"/>
    <w:basedOn w:val="Normal"/>
    <w:uiPriority w:val="34"/>
    <w:rsid w:val="00A530DF"/>
    <w:pPr>
      <w:ind w:left="720"/>
      <w:contextualSpacing/>
    </w:pPr>
  </w:style>
  <w:style w:type="character" w:styleId="IntenseEmphasis">
    <w:name w:val="Intense Emphasis"/>
    <w:basedOn w:val="DefaultParagraphFont"/>
    <w:uiPriority w:val="21"/>
    <w:rsid w:val="00A530DF"/>
    <w:rPr>
      <w:i/>
      <w:iCs/>
      <w:color w:val="0F4761" w:themeColor="accent1" w:themeShade="BF"/>
    </w:rPr>
  </w:style>
  <w:style w:type="paragraph" w:styleId="IntenseQuote">
    <w:name w:val="Intense Quote"/>
    <w:basedOn w:val="Normal"/>
    <w:next w:val="Normal"/>
    <w:link w:val="IntenseQuoteChar"/>
    <w:uiPriority w:val="30"/>
    <w:rsid w:val="00A53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0DF"/>
    <w:rPr>
      <w:rFonts w:ascii="Calibri Light" w:hAnsi="Calibri Light"/>
      <w:i/>
      <w:iCs/>
      <w:color w:val="0F4761" w:themeColor="accent1" w:themeShade="BF"/>
      <w:kern w:val="0"/>
    </w:rPr>
  </w:style>
  <w:style w:type="character" w:styleId="IntenseReference">
    <w:name w:val="Intense Reference"/>
    <w:basedOn w:val="DefaultParagraphFont"/>
    <w:uiPriority w:val="32"/>
    <w:rsid w:val="00A530DF"/>
    <w:rPr>
      <w:b/>
      <w:bCs/>
      <w:smallCaps/>
      <w:color w:val="0F4761" w:themeColor="accent1" w:themeShade="BF"/>
      <w:spacing w:val="5"/>
    </w:rPr>
  </w:style>
  <w:style w:type="table" w:customStyle="1" w:styleId="TableGrid1">
    <w:name w:val="Table Grid1"/>
    <w:basedOn w:val="TableNormal"/>
    <w:next w:val="TableGrid"/>
    <w:uiPriority w:val="59"/>
    <w:rsid w:val="00A530DF"/>
    <w:pPr>
      <w:spacing w:after="0" w:line="240" w:lineRule="auto"/>
    </w:pPr>
    <w:rPr>
      <w:rFonts w:eastAsia="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30DF"/>
    <w:pPr>
      <w:tabs>
        <w:tab w:val="center" w:pos="4680"/>
        <w:tab w:val="right" w:pos="9360"/>
      </w:tabs>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A530DF"/>
    <w:rPr>
      <w:rFonts w:ascii="Calibri" w:eastAsia="Times New Roman" w:hAnsi="Calibri" w:cs="Times New Roman"/>
      <w:kern w:val="0"/>
      <w:sz w:val="24"/>
      <w:szCs w:val="24"/>
    </w:rPr>
  </w:style>
  <w:style w:type="table" w:styleId="TableGrid">
    <w:name w:val="Table Grid"/>
    <w:basedOn w:val="TableNormal"/>
    <w:uiPriority w:val="39"/>
    <w:rsid w:val="00A5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gcrcf.org/donors/tax-benefits/" TargetMode="Externa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Cooley</dc:creator>
  <cp:keywords/>
  <dc:description/>
  <cp:lastModifiedBy>Dylan Cooley</cp:lastModifiedBy>
  <cp:revision>1</cp:revision>
  <dcterms:created xsi:type="dcterms:W3CDTF">2025-02-11T20:13:00Z</dcterms:created>
  <dcterms:modified xsi:type="dcterms:W3CDTF">2025-02-11T20:17:00Z</dcterms:modified>
</cp:coreProperties>
</file>